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A7" w:rsidRPr="009244A7" w:rsidRDefault="009244A7" w:rsidP="009244A7">
      <w:pPr>
        <w:spacing w:after="0"/>
        <w:jc w:val="center"/>
        <w:rPr>
          <w:rFonts w:asciiTheme="minorHAnsi" w:hAnsiTheme="minorHAnsi" w:cs="Arial"/>
          <w:b/>
          <w:color w:val="244061" w:themeColor="accent1" w:themeShade="80"/>
          <w:sz w:val="32"/>
          <w:szCs w:val="32"/>
        </w:rPr>
      </w:pPr>
      <w:r w:rsidRPr="009244A7">
        <w:rPr>
          <w:rFonts w:asciiTheme="minorHAnsi" w:hAnsiTheme="minorHAnsi" w:cs="Arial"/>
          <w:b/>
          <w:color w:val="244061" w:themeColor="accent1" w:themeShade="80"/>
          <w:sz w:val="32"/>
          <w:szCs w:val="32"/>
        </w:rPr>
        <w:t xml:space="preserve">GUIDA AGLI AMMORTIZZATORI SOCIALI </w:t>
      </w:r>
    </w:p>
    <w:p w:rsidR="009244A7" w:rsidRPr="009244A7" w:rsidRDefault="009244A7" w:rsidP="009244A7">
      <w:pPr>
        <w:spacing w:after="0"/>
        <w:jc w:val="center"/>
        <w:rPr>
          <w:rFonts w:asciiTheme="minorHAnsi" w:hAnsiTheme="minorHAnsi" w:cs="Arial"/>
          <w:b/>
          <w:color w:val="244061" w:themeColor="accent1" w:themeShade="80"/>
          <w:sz w:val="32"/>
          <w:szCs w:val="32"/>
        </w:rPr>
      </w:pPr>
      <w:r w:rsidRPr="009244A7">
        <w:rPr>
          <w:rFonts w:asciiTheme="minorHAnsi" w:hAnsiTheme="minorHAnsi" w:cs="Arial"/>
          <w:b/>
          <w:color w:val="244061" w:themeColor="accent1" w:themeShade="80"/>
          <w:sz w:val="32"/>
          <w:szCs w:val="32"/>
        </w:rPr>
        <w:t>PER I DIPENDENTI DEGLI STUDI PROFESSIONALI</w:t>
      </w:r>
    </w:p>
    <w:p w:rsidR="009244A7" w:rsidRPr="009244A7" w:rsidRDefault="009244A7" w:rsidP="00987664">
      <w:pPr>
        <w:spacing w:after="0" w:line="360" w:lineRule="auto"/>
        <w:jc w:val="center"/>
        <w:rPr>
          <w:rFonts w:asciiTheme="minorHAnsi" w:hAnsiTheme="minorHAnsi"/>
          <w:b/>
          <w:bCs/>
          <w:color w:val="244061" w:themeColor="accent1" w:themeShade="80"/>
          <w:sz w:val="24"/>
          <w:szCs w:val="24"/>
        </w:rPr>
      </w:pPr>
    </w:p>
    <w:p w:rsidR="009244A7" w:rsidRPr="009244A7" w:rsidRDefault="009244A7" w:rsidP="00987664">
      <w:pPr>
        <w:spacing w:after="0" w:line="360" w:lineRule="auto"/>
        <w:jc w:val="center"/>
        <w:rPr>
          <w:rFonts w:asciiTheme="minorHAnsi" w:hAnsiTheme="minorHAnsi"/>
          <w:b/>
          <w:bCs/>
          <w:color w:val="244061" w:themeColor="accent1" w:themeShade="80"/>
          <w:sz w:val="28"/>
          <w:szCs w:val="28"/>
        </w:rPr>
      </w:pPr>
      <w:r w:rsidRPr="009244A7">
        <w:rPr>
          <w:rFonts w:asciiTheme="minorHAnsi" w:hAnsiTheme="minorHAnsi"/>
          <w:b/>
          <w:bCs/>
          <w:color w:val="244061" w:themeColor="accent1" w:themeShade="80"/>
          <w:sz w:val="28"/>
          <w:szCs w:val="28"/>
        </w:rPr>
        <w:t>parte II</w:t>
      </w:r>
    </w:p>
    <w:p w:rsidR="009244A7" w:rsidRPr="009244A7" w:rsidRDefault="009244A7" w:rsidP="00987664">
      <w:pPr>
        <w:spacing w:after="0" w:line="360" w:lineRule="auto"/>
        <w:jc w:val="center"/>
        <w:rPr>
          <w:rFonts w:asciiTheme="minorHAnsi" w:hAnsiTheme="minorHAnsi"/>
          <w:b/>
          <w:bCs/>
          <w:color w:val="244061" w:themeColor="accent1" w:themeShade="80"/>
          <w:sz w:val="32"/>
          <w:szCs w:val="32"/>
        </w:rPr>
      </w:pPr>
    </w:p>
    <w:p w:rsidR="00380AE8" w:rsidRDefault="00380AE8" w:rsidP="00987664">
      <w:pPr>
        <w:spacing w:after="0" w:line="360" w:lineRule="auto"/>
        <w:jc w:val="center"/>
        <w:rPr>
          <w:rFonts w:asciiTheme="minorHAnsi" w:hAnsiTheme="minorHAnsi"/>
          <w:b/>
          <w:bCs/>
          <w:color w:val="244061" w:themeColor="accent1" w:themeShade="80"/>
          <w:sz w:val="32"/>
          <w:szCs w:val="32"/>
        </w:rPr>
      </w:pPr>
      <w:r w:rsidRPr="009244A7">
        <w:rPr>
          <w:rFonts w:asciiTheme="minorHAnsi" w:hAnsiTheme="minorHAnsi"/>
          <w:b/>
          <w:bCs/>
          <w:color w:val="244061" w:themeColor="accent1" w:themeShade="80"/>
          <w:sz w:val="32"/>
          <w:szCs w:val="32"/>
        </w:rPr>
        <w:t>AMMORTIZZATORI SOCIALI IN DEROGA</w:t>
      </w:r>
    </w:p>
    <w:p w:rsidR="009244A7" w:rsidRPr="009244A7" w:rsidRDefault="009244A7" w:rsidP="00987664">
      <w:pPr>
        <w:spacing w:after="0" w:line="360" w:lineRule="auto"/>
        <w:jc w:val="center"/>
        <w:rPr>
          <w:rFonts w:asciiTheme="minorHAnsi" w:hAnsiTheme="minorHAnsi"/>
          <w:b/>
          <w:bCs/>
          <w:color w:val="244061" w:themeColor="accent1" w:themeShade="80"/>
          <w:sz w:val="32"/>
          <w:szCs w:val="32"/>
        </w:rPr>
      </w:pPr>
    </w:p>
    <w:p w:rsidR="00987664" w:rsidRPr="009244A7" w:rsidRDefault="00987664" w:rsidP="00987664">
      <w:pPr>
        <w:pStyle w:val="Paragrafoelenco"/>
        <w:numPr>
          <w:ilvl w:val="0"/>
          <w:numId w:val="2"/>
        </w:numPr>
        <w:spacing w:after="0" w:line="360" w:lineRule="auto"/>
        <w:jc w:val="both"/>
        <w:rPr>
          <w:rFonts w:asciiTheme="minorHAnsi" w:hAnsiTheme="minorHAnsi"/>
          <w:b/>
          <w:bCs/>
          <w:color w:val="244061" w:themeColor="accent1" w:themeShade="80"/>
          <w:sz w:val="24"/>
          <w:szCs w:val="24"/>
        </w:rPr>
      </w:pPr>
      <w:hyperlink w:anchor="a" w:history="1">
        <w:r w:rsidRPr="009244A7">
          <w:rPr>
            <w:rStyle w:val="Collegamentoipertestuale"/>
            <w:rFonts w:asciiTheme="minorHAnsi" w:hAnsiTheme="minorHAnsi"/>
            <w:b/>
            <w:bCs/>
            <w:color w:val="244061" w:themeColor="accent1" w:themeShade="80"/>
            <w:sz w:val="24"/>
            <w:szCs w:val="24"/>
          </w:rPr>
          <w:t>COS</w:t>
        </w:r>
        <w:r w:rsidRPr="009244A7">
          <w:rPr>
            <w:rStyle w:val="Collegamentoipertestuale"/>
            <w:rFonts w:asciiTheme="minorHAnsi" w:hAnsiTheme="minorHAnsi"/>
            <w:b/>
            <w:bCs/>
            <w:color w:val="244061" w:themeColor="accent1" w:themeShade="80"/>
            <w:sz w:val="24"/>
            <w:szCs w:val="24"/>
          </w:rPr>
          <w:t>A</w:t>
        </w:r>
        <w:r w:rsidRPr="009244A7">
          <w:rPr>
            <w:rStyle w:val="Collegamentoipertestuale"/>
            <w:rFonts w:asciiTheme="minorHAnsi" w:hAnsiTheme="minorHAnsi"/>
            <w:b/>
            <w:bCs/>
            <w:color w:val="244061" w:themeColor="accent1" w:themeShade="80"/>
            <w:sz w:val="24"/>
            <w:szCs w:val="24"/>
          </w:rPr>
          <w:t xml:space="preserve"> </w:t>
        </w:r>
        <w:r w:rsidRPr="009244A7">
          <w:rPr>
            <w:rStyle w:val="Collegamentoipertestuale"/>
            <w:rFonts w:asciiTheme="minorHAnsi" w:hAnsiTheme="minorHAnsi"/>
            <w:b/>
            <w:bCs/>
            <w:color w:val="244061" w:themeColor="accent1" w:themeShade="80"/>
            <w:sz w:val="24"/>
            <w:szCs w:val="24"/>
          </w:rPr>
          <w:t>SONO?</w:t>
        </w:r>
      </w:hyperlink>
    </w:p>
    <w:p w:rsidR="00987664" w:rsidRPr="009244A7" w:rsidRDefault="00987664" w:rsidP="00987664">
      <w:pPr>
        <w:spacing w:after="0" w:line="360" w:lineRule="auto"/>
        <w:ind w:left="360"/>
        <w:jc w:val="both"/>
        <w:rPr>
          <w:rFonts w:asciiTheme="minorHAnsi" w:eastAsia="Times New Roman" w:hAnsiTheme="minorHAnsi"/>
          <w:b/>
          <w:color w:val="244061" w:themeColor="accent1" w:themeShade="80"/>
          <w:sz w:val="24"/>
          <w:szCs w:val="24"/>
          <w:lang w:eastAsia="it-IT"/>
        </w:rPr>
      </w:pPr>
    </w:p>
    <w:p w:rsidR="00987664" w:rsidRDefault="00987664" w:rsidP="00987664">
      <w:pPr>
        <w:spacing w:after="0" w:line="360" w:lineRule="auto"/>
        <w:ind w:left="360"/>
        <w:jc w:val="both"/>
        <w:rPr>
          <w:rFonts w:asciiTheme="minorHAnsi" w:eastAsia="Times New Roman" w:hAnsiTheme="minorHAnsi"/>
          <w:b/>
          <w:color w:val="244061" w:themeColor="accent1" w:themeShade="80"/>
          <w:sz w:val="24"/>
          <w:szCs w:val="24"/>
          <w:lang w:eastAsia="it-IT"/>
        </w:rPr>
      </w:pPr>
      <w:r w:rsidRPr="009244A7">
        <w:rPr>
          <w:rFonts w:asciiTheme="minorHAnsi" w:eastAsia="Times New Roman" w:hAnsiTheme="minorHAnsi"/>
          <w:b/>
          <w:color w:val="244061" w:themeColor="accent1" w:themeShade="80"/>
          <w:sz w:val="24"/>
          <w:szCs w:val="24"/>
          <w:lang w:eastAsia="it-IT"/>
        </w:rPr>
        <w:t>CASSA INTEGRAZIONE IN DEROGA</w:t>
      </w:r>
    </w:p>
    <w:p w:rsidR="00987664" w:rsidRPr="009244A7" w:rsidRDefault="00987664" w:rsidP="00987664">
      <w:pPr>
        <w:pStyle w:val="Paragrafoelenco"/>
        <w:numPr>
          <w:ilvl w:val="0"/>
          <w:numId w:val="2"/>
        </w:numPr>
        <w:spacing w:after="0" w:line="360" w:lineRule="auto"/>
        <w:jc w:val="both"/>
        <w:rPr>
          <w:rFonts w:asciiTheme="minorHAnsi" w:eastAsia="Times New Roman" w:hAnsiTheme="minorHAnsi"/>
          <w:b/>
          <w:color w:val="244061" w:themeColor="accent1" w:themeShade="80"/>
          <w:sz w:val="24"/>
          <w:szCs w:val="24"/>
          <w:lang w:eastAsia="it-IT"/>
        </w:rPr>
      </w:pPr>
      <w:hyperlink w:anchor="b" w:history="1">
        <w:r w:rsidRPr="009244A7">
          <w:rPr>
            <w:rStyle w:val="Collegamentoipertestuale"/>
            <w:rFonts w:asciiTheme="minorHAnsi" w:eastAsia="Times New Roman" w:hAnsiTheme="minorHAnsi"/>
            <w:b/>
            <w:color w:val="244061" w:themeColor="accent1" w:themeShade="80"/>
            <w:sz w:val="24"/>
            <w:szCs w:val="24"/>
            <w:lang w:eastAsia="it-IT"/>
          </w:rPr>
          <w:t>A</w:t>
        </w:r>
        <w:r w:rsidRPr="009244A7">
          <w:rPr>
            <w:rStyle w:val="Collegamentoipertestuale"/>
            <w:rFonts w:asciiTheme="minorHAnsi" w:eastAsia="Times New Roman" w:hAnsiTheme="minorHAnsi"/>
            <w:b/>
            <w:color w:val="244061" w:themeColor="accent1" w:themeShade="80"/>
            <w:sz w:val="24"/>
            <w:szCs w:val="24"/>
            <w:lang w:eastAsia="it-IT"/>
          </w:rPr>
          <w:t xml:space="preserve"> </w:t>
        </w:r>
        <w:r w:rsidRPr="009244A7">
          <w:rPr>
            <w:rStyle w:val="Collegamentoipertestuale"/>
            <w:rFonts w:asciiTheme="minorHAnsi" w:eastAsia="Times New Roman" w:hAnsiTheme="minorHAnsi"/>
            <w:b/>
            <w:color w:val="244061" w:themeColor="accent1" w:themeShade="80"/>
            <w:sz w:val="24"/>
            <w:szCs w:val="24"/>
            <w:lang w:eastAsia="it-IT"/>
          </w:rPr>
          <w:t>CHI E’ RIVOLTA?</w:t>
        </w:r>
      </w:hyperlink>
    </w:p>
    <w:p w:rsidR="00987664" w:rsidRPr="009244A7" w:rsidRDefault="00987664" w:rsidP="00987664">
      <w:pPr>
        <w:pStyle w:val="Paragrafoelenco"/>
        <w:numPr>
          <w:ilvl w:val="0"/>
          <w:numId w:val="2"/>
        </w:numPr>
        <w:shd w:val="clear" w:color="auto" w:fill="FFFFFF"/>
        <w:spacing w:after="0" w:line="360" w:lineRule="auto"/>
        <w:rPr>
          <w:rFonts w:asciiTheme="minorHAnsi" w:eastAsia="Times New Roman" w:hAnsiTheme="minorHAnsi"/>
          <w:b/>
          <w:color w:val="244061" w:themeColor="accent1" w:themeShade="80"/>
          <w:sz w:val="24"/>
          <w:szCs w:val="24"/>
          <w:lang w:eastAsia="it-IT"/>
        </w:rPr>
      </w:pPr>
      <w:hyperlink w:anchor="c" w:history="1">
        <w:r w:rsidRPr="009244A7">
          <w:rPr>
            <w:rStyle w:val="Collegamentoipertestuale"/>
            <w:rFonts w:asciiTheme="minorHAnsi" w:eastAsia="Times New Roman" w:hAnsiTheme="minorHAnsi"/>
            <w:b/>
            <w:color w:val="244061" w:themeColor="accent1" w:themeShade="80"/>
            <w:sz w:val="24"/>
            <w:szCs w:val="24"/>
            <w:lang w:eastAsia="it-IT"/>
          </w:rPr>
          <w:t>Q</w:t>
        </w:r>
        <w:r w:rsidRPr="009244A7">
          <w:rPr>
            <w:rStyle w:val="Collegamentoipertestuale"/>
            <w:rFonts w:asciiTheme="minorHAnsi" w:eastAsia="Times New Roman" w:hAnsiTheme="minorHAnsi"/>
            <w:b/>
            <w:color w:val="244061" w:themeColor="accent1" w:themeShade="80"/>
            <w:sz w:val="24"/>
            <w:szCs w:val="24"/>
            <w:lang w:eastAsia="it-IT"/>
          </w:rPr>
          <w:t>U</w:t>
        </w:r>
        <w:r w:rsidRPr="009244A7">
          <w:rPr>
            <w:rStyle w:val="Collegamentoipertestuale"/>
            <w:rFonts w:asciiTheme="minorHAnsi" w:eastAsia="Times New Roman" w:hAnsiTheme="minorHAnsi"/>
            <w:b/>
            <w:color w:val="244061" w:themeColor="accent1" w:themeShade="80"/>
            <w:sz w:val="24"/>
            <w:szCs w:val="24"/>
            <w:lang w:eastAsia="it-IT"/>
          </w:rPr>
          <w:t>ALI SONO I DATORI DI LAVORO CHE POSSONO ACCEDERE ALLA CIG IN DEROGA?</w:t>
        </w:r>
      </w:hyperlink>
    </w:p>
    <w:p w:rsidR="00987664" w:rsidRPr="009244A7" w:rsidRDefault="00987664" w:rsidP="00987664">
      <w:pPr>
        <w:pStyle w:val="Paragrafoelenco"/>
        <w:numPr>
          <w:ilvl w:val="0"/>
          <w:numId w:val="2"/>
        </w:numPr>
        <w:shd w:val="clear" w:color="auto" w:fill="FFFFFF"/>
        <w:spacing w:after="0" w:line="360" w:lineRule="auto"/>
        <w:rPr>
          <w:rFonts w:asciiTheme="minorHAnsi" w:eastAsia="Times New Roman" w:hAnsiTheme="minorHAnsi"/>
          <w:b/>
          <w:color w:val="244061" w:themeColor="accent1" w:themeShade="80"/>
          <w:sz w:val="24"/>
          <w:szCs w:val="24"/>
          <w:lang w:eastAsia="it-IT"/>
        </w:rPr>
      </w:pPr>
      <w:hyperlink w:anchor="d" w:history="1">
        <w:r w:rsidRPr="009244A7">
          <w:rPr>
            <w:rStyle w:val="Collegamentoipertestuale"/>
            <w:rFonts w:asciiTheme="minorHAnsi" w:eastAsia="Times New Roman" w:hAnsiTheme="minorHAnsi"/>
            <w:b/>
            <w:color w:val="244061" w:themeColor="accent1" w:themeShade="80"/>
            <w:sz w:val="24"/>
            <w:szCs w:val="24"/>
            <w:lang w:eastAsia="it-IT"/>
          </w:rPr>
          <w:t>QUAL’</w:t>
        </w:r>
        <w:r w:rsidRPr="009244A7">
          <w:rPr>
            <w:rStyle w:val="Collegamentoipertestuale"/>
            <w:rFonts w:asciiTheme="minorHAnsi" w:eastAsia="Times New Roman" w:hAnsiTheme="minorHAnsi"/>
            <w:b/>
            <w:color w:val="244061" w:themeColor="accent1" w:themeShade="80"/>
            <w:sz w:val="24"/>
            <w:szCs w:val="24"/>
            <w:lang w:eastAsia="it-IT"/>
          </w:rPr>
          <w:t>E</w:t>
        </w:r>
        <w:r w:rsidRPr="009244A7">
          <w:rPr>
            <w:rStyle w:val="Collegamentoipertestuale"/>
            <w:rFonts w:asciiTheme="minorHAnsi" w:eastAsia="Times New Roman" w:hAnsiTheme="minorHAnsi"/>
            <w:b/>
            <w:color w:val="244061" w:themeColor="accent1" w:themeShade="80"/>
            <w:sz w:val="24"/>
            <w:szCs w:val="24"/>
            <w:lang w:eastAsia="it-IT"/>
          </w:rPr>
          <w:t>’ LA DURATA E L’AMMONTARE DELLA CIG IN DEROGA?</w:t>
        </w:r>
      </w:hyperlink>
    </w:p>
    <w:p w:rsidR="00987664" w:rsidRPr="009244A7" w:rsidRDefault="00987664" w:rsidP="00987664">
      <w:pPr>
        <w:pStyle w:val="Paragrafoelenco"/>
        <w:numPr>
          <w:ilvl w:val="0"/>
          <w:numId w:val="2"/>
        </w:numPr>
        <w:shd w:val="clear" w:color="auto" w:fill="FFFFFF"/>
        <w:spacing w:after="0" w:line="360" w:lineRule="auto"/>
        <w:rPr>
          <w:rFonts w:asciiTheme="minorHAnsi" w:eastAsia="Times New Roman" w:hAnsiTheme="minorHAnsi"/>
          <w:b/>
          <w:color w:val="244061" w:themeColor="accent1" w:themeShade="80"/>
          <w:sz w:val="24"/>
          <w:szCs w:val="24"/>
          <w:lang w:eastAsia="it-IT"/>
        </w:rPr>
      </w:pPr>
      <w:hyperlink w:anchor="e" w:history="1">
        <w:r w:rsidRPr="009244A7">
          <w:rPr>
            <w:rStyle w:val="Collegamentoipertestuale"/>
            <w:rFonts w:asciiTheme="minorHAnsi" w:eastAsia="Times New Roman" w:hAnsiTheme="minorHAnsi"/>
            <w:b/>
            <w:color w:val="244061" w:themeColor="accent1" w:themeShade="80"/>
            <w:sz w:val="24"/>
            <w:szCs w:val="24"/>
            <w:lang w:eastAsia="it-IT"/>
          </w:rPr>
          <w:t>QUAL</w:t>
        </w:r>
        <w:r w:rsidRPr="009244A7">
          <w:rPr>
            <w:rStyle w:val="Collegamentoipertestuale"/>
            <w:rFonts w:asciiTheme="minorHAnsi" w:eastAsia="Times New Roman" w:hAnsiTheme="minorHAnsi"/>
            <w:b/>
            <w:color w:val="244061" w:themeColor="accent1" w:themeShade="80"/>
            <w:sz w:val="24"/>
            <w:szCs w:val="24"/>
            <w:lang w:eastAsia="it-IT"/>
          </w:rPr>
          <w:t>’</w:t>
        </w:r>
        <w:r w:rsidRPr="009244A7">
          <w:rPr>
            <w:rStyle w:val="Collegamentoipertestuale"/>
            <w:rFonts w:asciiTheme="minorHAnsi" w:eastAsia="Times New Roman" w:hAnsiTheme="minorHAnsi"/>
            <w:b/>
            <w:color w:val="244061" w:themeColor="accent1" w:themeShade="80"/>
            <w:sz w:val="24"/>
            <w:szCs w:val="24"/>
            <w:lang w:eastAsia="it-IT"/>
          </w:rPr>
          <w:t>E’ LA PROCEDURA DA SEGUIRE PER OTTENERE LA CIG IN DEROGA?</w:t>
        </w:r>
      </w:hyperlink>
    </w:p>
    <w:p w:rsidR="00987664" w:rsidRPr="009244A7" w:rsidRDefault="00987664" w:rsidP="00987664">
      <w:pPr>
        <w:pStyle w:val="Paragrafoelenco"/>
        <w:numPr>
          <w:ilvl w:val="0"/>
          <w:numId w:val="2"/>
        </w:numPr>
        <w:spacing w:after="0" w:line="360" w:lineRule="auto"/>
        <w:jc w:val="both"/>
        <w:rPr>
          <w:rFonts w:asciiTheme="minorHAnsi" w:eastAsia="Times New Roman" w:hAnsiTheme="minorHAnsi"/>
          <w:b/>
          <w:color w:val="244061" w:themeColor="accent1" w:themeShade="80"/>
          <w:sz w:val="24"/>
          <w:szCs w:val="24"/>
          <w:lang w:eastAsia="it-IT"/>
        </w:rPr>
      </w:pPr>
      <w:hyperlink w:anchor="f" w:history="1">
        <w:r w:rsidRPr="009244A7">
          <w:rPr>
            <w:rStyle w:val="Collegamentoipertestuale"/>
            <w:rFonts w:asciiTheme="minorHAnsi" w:eastAsia="Times New Roman" w:hAnsiTheme="minorHAnsi"/>
            <w:b/>
            <w:color w:val="244061" w:themeColor="accent1" w:themeShade="80"/>
            <w:sz w:val="24"/>
            <w:szCs w:val="24"/>
            <w:lang w:eastAsia="it-IT"/>
          </w:rPr>
          <w:t>È POSSI</w:t>
        </w:r>
        <w:r w:rsidRPr="009244A7">
          <w:rPr>
            <w:rStyle w:val="Collegamentoipertestuale"/>
            <w:rFonts w:asciiTheme="minorHAnsi" w:eastAsia="Times New Roman" w:hAnsiTheme="minorHAnsi"/>
            <w:b/>
            <w:color w:val="244061" w:themeColor="accent1" w:themeShade="80"/>
            <w:sz w:val="24"/>
            <w:szCs w:val="24"/>
            <w:lang w:eastAsia="it-IT"/>
          </w:rPr>
          <w:t>B</w:t>
        </w:r>
        <w:r w:rsidRPr="009244A7">
          <w:rPr>
            <w:rStyle w:val="Collegamentoipertestuale"/>
            <w:rFonts w:asciiTheme="minorHAnsi" w:eastAsia="Times New Roman" w:hAnsiTheme="minorHAnsi"/>
            <w:b/>
            <w:color w:val="244061" w:themeColor="accent1" w:themeShade="80"/>
            <w:sz w:val="24"/>
            <w:szCs w:val="24"/>
            <w:lang w:eastAsia="it-IT"/>
          </w:rPr>
          <w:t>ILE ANTICIPARE L’INDENNITÀ?</w:t>
        </w:r>
      </w:hyperlink>
    </w:p>
    <w:p w:rsidR="00987664" w:rsidRPr="009244A7" w:rsidRDefault="00987664" w:rsidP="00987664">
      <w:pPr>
        <w:pStyle w:val="Paragrafoelenco"/>
        <w:numPr>
          <w:ilvl w:val="0"/>
          <w:numId w:val="2"/>
        </w:numPr>
        <w:spacing w:after="0" w:line="360" w:lineRule="auto"/>
        <w:jc w:val="both"/>
        <w:rPr>
          <w:rFonts w:asciiTheme="minorHAnsi" w:eastAsia="Times New Roman" w:hAnsiTheme="minorHAnsi"/>
          <w:b/>
          <w:color w:val="244061" w:themeColor="accent1" w:themeShade="80"/>
          <w:sz w:val="24"/>
          <w:szCs w:val="24"/>
          <w:lang w:eastAsia="it-IT"/>
        </w:rPr>
      </w:pPr>
      <w:hyperlink w:anchor="g" w:history="1">
        <w:r w:rsidRPr="009244A7">
          <w:rPr>
            <w:rStyle w:val="Collegamentoipertestuale"/>
            <w:rFonts w:asciiTheme="minorHAnsi" w:eastAsia="Times New Roman" w:hAnsiTheme="minorHAnsi"/>
            <w:b/>
            <w:color w:val="244061" w:themeColor="accent1" w:themeShade="80"/>
            <w:sz w:val="24"/>
            <w:szCs w:val="24"/>
            <w:lang w:eastAsia="it-IT"/>
          </w:rPr>
          <w:t>E’ NECE</w:t>
        </w:r>
        <w:r w:rsidRPr="009244A7">
          <w:rPr>
            <w:rStyle w:val="Collegamentoipertestuale"/>
            <w:rFonts w:asciiTheme="minorHAnsi" w:eastAsia="Times New Roman" w:hAnsiTheme="minorHAnsi"/>
            <w:b/>
            <w:color w:val="244061" w:themeColor="accent1" w:themeShade="80"/>
            <w:sz w:val="24"/>
            <w:szCs w:val="24"/>
            <w:lang w:eastAsia="it-IT"/>
          </w:rPr>
          <w:t>S</w:t>
        </w:r>
        <w:r w:rsidRPr="009244A7">
          <w:rPr>
            <w:rStyle w:val="Collegamentoipertestuale"/>
            <w:rFonts w:asciiTheme="minorHAnsi" w:eastAsia="Times New Roman" w:hAnsiTheme="minorHAnsi"/>
            <w:b/>
            <w:color w:val="244061" w:themeColor="accent1" w:themeShade="80"/>
            <w:sz w:val="24"/>
            <w:szCs w:val="24"/>
            <w:lang w:eastAsia="it-IT"/>
          </w:rPr>
          <w:t>SARIA LA CONSULTAZIONE SINDACALE?</w:t>
        </w:r>
      </w:hyperlink>
    </w:p>
    <w:p w:rsidR="00987664" w:rsidRPr="009244A7" w:rsidRDefault="00987664" w:rsidP="00987664">
      <w:pPr>
        <w:pStyle w:val="Paragrafoelenco"/>
        <w:numPr>
          <w:ilvl w:val="0"/>
          <w:numId w:val="2"/>
        </w:numPr>
        <w:spacing w:after="0" w:line="360" w:lineRule="auto"/>
        <w:jc w:val="both"/>
        <w:rPr>
          <w:rFonts w:asciiTheme="minorHAnsi" w:eastAsia="Times New Roman" w:hAnsiTheme="minorHAnsi"/>
          <w:b/>
          <w:color w:val="244061" w:themeColor="accent1" w:themeShade="80"/>
          <w:sz w:val="24"/>
          <w:szCs w:val="24"/>
          <w:lang w:eastAsia="it-IT"/>
        </w:rPr>
      </w:pPr>
      <w:hyperlink w:anchor="h" w:history="1">
        <w:r w:rsidRPr="009244A7">
          <w:rPr>
            <w:rStyle w:val="Collegamentoipertestuale"/>
            <w:rFonts w:asciiTheme="minorHAnsi" w:eastAsia="Times New Roman" w:hAnsiTheme="minorHAnsi"/>
            <w:b/>
            <w:color w:val="244061" w:themeColor="accent1" w:themeShade="80"/>
            <w:sz w:val="24"/>
            <w:szCs w:val="24"/>
            <w:lang w:eastAsia="it-IT"/>
          </w:rPr>
          <w:t>LA DICH</w:t>
        </w:r>
        <w:r w:rsidRPr="009244A7">
          <w:rPr>
            <w:rStyle w:val="Collegamentoipertestuale"/>
            <w:rFonts w:asciiTheme="minorHAnsi" w:eastAsia="Times New Roman" w:hAnsiTheme="minorHAnsi"/>
            <w:b/>
            <w:color w:val="244061" w:themeColor="accent1" w:themeShade="80"/>
            <w:sz w:val="24"/>
            <w:szCs w:val="24"/>
            <w:lang w:eastAsia="it-IT"/>
          </w:rPr>
          <w:t>I</w:t>
        </w:r>
        <w:r w:rsidRPr="009244A7">
          <w:rPr>
            <w:rStyle w:val="Collegamentoipertestuale"/>
            <w:rFonts w:asciiTheme="minorHAnsi" w:eastAsia="Times New Roman" w:hAnsiTheme="minorHAnsi"/>
            <w:b/>
            <w:color w:val="244061" w:themeColor="accent1" w:themeShade="80"/>
            <w:sz w:val="24"/>
            <w:szCs w:val="24"/>
            <w:lang w:eastAsia="it-IT"/>
          </w:rPr>
          <w:t>ARAZIONE DI IMMEDIATA DISPONIBILITA’ E’ OBBLIGATORIA?</w:t>
        </w:r>
      </w:hyperlink>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9244A7" w:rsidRDefault="009244A7"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p>
    <w:p w:rsidR="00380AE8" w:rsidRPr="009244A7" w:rsidRDefault="00987664" w:rsidP="00987664">
      <w:pPr>
        <w:pStyle w:val="Paragrafoelenco"/>
        <w:tabs>
          <w:tab w:val="left" w:pos="2430"/>
        </w:tabs>
        <w:spacing w:after="0" w:line="360" w:lineRule="auto"/>
        <w:jc w:val="both"/>
        <w:rPr>
          <w:rFonts w:asciiTheme="minorHAnsi" w:hAnsiTheme="minorHAnsi"/>
          <w:b/>
          <w:bCs/>
          <w:color w:val="244061" w:themeColor="accent1" w:themeShade="80"/>
          <w:sz w:val="24"/>
          <w:szCs w:val="24"/>
        </w:rPr>
      </w:pPr>
      <w:r w:rsidRPr="009244A7">
        <w:rPr>
          <w:rFonts w:asciiTheme="minorHAnsi" w:hAnsiTheme="minorHAnsi"/>
          <w:b/>
          <w:bCs/>
          <w:color w:val="244061" w:themeColor="accent1" w:themeShade="80"/>
          <w:sz w:val="24"/>
          <w:szCs w:val="24"/>
        </w:rPr>
        <w:tab/>
      </w:r>
    </w:p>
    <w:p w:rsidR="00380AE8" w:rsidRPr="009244A7" w:rsidRDefault="00380AE8" w:rsidP="00987664">
      <w:pPr>
        <w:pStyle w:val="Paragrafoelenco"/>
        <w:numPr>
          <w:ilvl w:val="0"/>
          <w:numId w:val="3"/>
        </w:numPr>
        <w:tabs>
          <w:tab w:val="center" w:pos="4819"/>
        </w:tabs>
        <w:spacing w:after="0" w:line="360" w:lineRule="auto"/>
        <w:jc w:val="both"/>
        <w:rPr>
          <w:rFonts w:asciiTheme="minorHAnsi" w:hAnsiTheme="minorHAnsi"/>
          <w:b/>
          <w:bCs/>
          <w:color w:val="244061" w:themeColor="accent1" w:themeShade="80"/>
          <w:sz w:val="24"/>
          <w:szCs w:val="24"/>
        </w:rPr>
      </w:pPr>
      <w:bookmarkStart w:id="0" w:name="a"/>
      <w:bookmarkEnd w:id="0"/>
      <w:r w:rsidRPr="009244A7">
        <w:rPr>
          <w:rFonts w:asciiTheme="minorHAnsi" w:hAnsiTheme="minorHAnsi"/>
          <w:b/>
          <w:bCs/>
          <w:color w:val="244061" w:themeColor="accent1" w:themeShade="80"/>
          <w:sz w:val="24"/>
          <w:szCs w:val="24"/>
        </w:rPr>
        <w:lastRenderedPageBreak/>
        <w:t>COSA SONO?</w:t>
      </w:r>
      <w:r w:rsidR="00987664" w:rsidRPr="009244A7">
        <w:rPr>
          <w:rFonts w:asciiTheme="minorHAnsi" w:hAnsiTheme="minorHAnsi"/>
          <w:b/>
          <w:bCs/>
          <w:color w:val="244061" w:themeColor="accent1" w:themeShade="80"/>
          <w:sz w:val="24"/>
          <w:szCs w:val="24"/>
        </w:rPr>
        <w:tab/>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Gli ammortizzatori sociali in deroga sono stati introdotti per la prima volta dalla L. 350/2003 ed hanno subito un significativo ampliamento nel 2009. </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Essi rappresentano uno strumento volto a sostenere lavoratori licenziati o sospesi, privi di qualsiasi tipologia di trattamento di sostegno al reddito connesso alla sospensione o cessazione del rapporto di lavoro. Si distinguono in cassa integrazione guadagni in deroga e mobilità in deroga.</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Sul piano operativo, i termini di ricorso e di accesso a tale istituto vengono definiti tramite accordi regionali tra Regioni, Province autonome e parti sociali e, ad un’intesa siglata tra Stato, Regioni e Province autonome. </w:t>
      </w:r>
    </w:p>
    <w:p w:rsidR="00380AE8" w:rsidRDefault="00380AE8" w:rsidP="00987664">
      <w:pPr>
        <w:spacing w:after="0" w:line="360" w:lineRule="auto"/>
        <w:ind w:firstLine="708"/>
        <w:jc w:val="both"/>
        <w:rPr>
          <w:rFonts w:asciiTheme="minorHAnsi" w:eastAsia="Times New Roman" w:hAnsiTheme="minorHAnsi"/>
          <w:color w:val="244061" w:themeColor="accent1" w:themeShade="80"/>
          <w:sz w:val="24"/>
          <w:szCs w:val="24"/>
          <w:lang w:eastAsia="it-IT"/>
        </w:rPr>
      </w:pPr>
    </w:p>
    <w:p w:rsidR="009244A7" w:rsidRPr="009244A7" w:rsidRDefault="009244A7" w:rsidP="00987664">
      <w:pPr>
        <w:spacing w:after="0" w:line="360" w:lineRule="auto"/>
        <w:ind w:firstLine="708"/>
        <w:jc w:val="both"/>
        <w:rPr>
          <w:rFonts w:asciiTheme="minorHAnsi" w:eastAsia="Times New Roman" w:hAnsiTheme="minorHAnsi"/>
          <w:color w:val="244061" w:themeColor="accent1" w:themeShade="80"/>
          <w:sz w:val="24"/>
          <w:szCs w:val="24"/>
          <w:lang w:eastAsia="it-IT"/>
        </w:rPr>
      </w:pPr>
    </w:p>
    <w:p w:rsidR="00380AE8" w:rsidRPr="009244A7" w:rsidRDefault="00380AE8" w:rsidP="00380AE8">
      <w:pPr>
        <w:spacing w:after="0" w:line="360" w:lineRule="auto"/>
        <w:jc w:val="both"/>
        <w:rPr>
          <w:rFonts w:asciiTheme="minorHAnsi" w:eastAsia="Times New Roman" w:hAnsiTheme="minorHAnsi"/>
          <w:b/>
          <w:color w:val="244061" w:themeColor="accent1" w:themeShade="80"/>
          <w:sz w:val="24"/>
          <w:szCs w:val="24"/>
          <w:lang w:eastAsia="it-IT"/>
        </w:rPr>
      </w:pPr>
      <w:r w:rsidRPr="009244A7">
        <w:rPr>
          <w:rFonts w:asciiTheme="minorHAnsi" w:eastAsia="Times New Roman" w:hAnsiTheme="minorHAnsi"/>
          <w:b/>
          <w:color w:val="244061" w:themeColor="accent1" w:themeShade="80"/>
          <w:sz w:val="24"/>
          <w:szCs w:val="24"/>
          <w:lang w:eastAsia="it-IT"/>
        </w:rPr>
        <w:t>CASSA INTEGRAZIONE IN DEROGA</w:t>
      </w:r>
    </w:p>
    <w:p w:rsidR="00380AE8" w:rsidRPr="009244A7" w:rsidRDefault="00380AE8" w:rsidP="00380AE8">
      <w:pPr>
        <w:spacing w:after="0" w:line="360" w:lineRule="auto"/>
        <w:jc w:val="both"/>
        <w:rPr>
          <w:rFonts w:asciiTheme="minorHAnsi" w:eastAsia="Times New Roman" w:hAnsiTheme="minorHAnsi"/>
          <w:b/>
          <w:color w:val="244061" w:themeColor="accent1" w:themeShade="80"/>
          <w:sz w:val="24"/>
          <w:szCs w:val="24"/>
          <w:lang w:eastAsia="it-IT"/>
        </w:rPr>
      </w:pPr>
    </w:p>
    <w:p w:rsidR="00380AE8" w:rsidRPr="009244A7" w:rsidRDefault="00380AE8" w:rsidP="00987664">
      <w:pPr>
        <w:pStyle w:val="Paragrafoelenco"/>
        <w:numPr>
          <w:ilvl w:val="0"/>
          <w:numId w:val="3"/>
        </w:numPr>
        <w:spacing w:after="0" w:line="360" w:lineRule="auto"/>
        <w:jc w:val="both"/>
        <w:rPr>
          <w:rFonts w:asciiTheme="minorHAnsi" w:eastAsia="Times New Roman" w:hAnsiTheme="minorHAnsi"/>
          <w:b/>
          <w:color w:val="244061" w:themeColor="accent1" w:themeShade="80"/>
          <w:sz w:val="24"/>
          <w:szCs w:val="24"/>
          <w:lang w:eastAsia="it-IT"/>
        </w:rPr>
      </w:pPr>
      <w:bookmarkStart w:id="1" w:name="b"/>
      <w:bookmarkEnd w:id="1"/>
      <w:r w:rsidRPr="009244A7">
        <w:rPr>
          <w:rFonts w:asciiTheme="minorHAnsi" w:eastAsia="Times New Roman" w:hAnsiTheme="minorHAnsi"/>
          <w:b/>
          <w:color w:val="244061" w:themeColor="accent1" w:themeShade="80"/>
          <w:sz w:val="24"/>
          <w:szCs w:val="24"/>
          <w:lang w:eastAsia="it-IT"/>
        </w:rPr>
        <w:t>A CHI E’ RIVOLTA?</w:t>
      </w:r>
    </w:p>
    <w:p w:rsidR="00380AE8" w:rsidRPr="009244A7" w:rsidRDefault="00380AE8" w:rsidP="00380AE8">
      <w:pPr>
        <w:shd w:val="clear" w:color="auto" w:fill="FFFFFF"/>
        <w:spacing w:after="75"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La Cassa Integrazione Guadagni in deroga è una prestazione destinata a tutti i lavoratori aventi un rapporto di lavoro subordinato, anche a tempo determinato purché abbiano un'anzianità di servizio di almeno 90 giorni presso il datore di lavoro richiedente:</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Operai,</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Impiegati,</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Quadri, </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apprendisti, </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soci delle cooperative con rapporto di lavoro subordinato,</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lavoratori somministrati, </w:t>
      </w:r>
    </w:p>
    <w:p w:rsidR="00380AE8" w:rsidRPr="009244A7" w:rsidRDefault="00380AE8" w:rsidP="00380AE8">
      <w:pPr>
        <w:numPr>
          <w:ilvl w:val="0"/>
          <w:numId w:val="1"/>
        </w:num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lavoratori a domicilio </w:t>
      </w:r>
    </w:p>
    <w:p w:rsidR="00380AE8" w:rsidRDefault="00380AE8" w:rsidP="00380AE8">
      <w:pPr>
        <w:shd w:val="clear" w:color="auto" w:fill="FFFFFF"/>
        <w:spacing w:after="0" w:line="360" w:lineRule="auto"/>
        <w:ind w:left="720"/>
        <w:rPr>
          <w:rFonts w:asciiTheme="minorHAnsi" w:eastAsia="Times New Roman" w:hAnsiTheme="minorHAnsi"/>
          <w:color w:val="244061" w:themeColor="accent1" w:themeShade="80"/>
          <w:sz w:val="24"/>
          <w:szCs w:val="24"/>
          <w:lang w:eastAsia="it-IT"/>
        </w:rPr>
      </w:pPr>
    </w:p>
    <w:p w:rsidR="009244A7" w:rsidRPr="009244A7" w:rsidRDefault="009244A7" w:rsidP="00380AE8">
      <w:pPr>
        <w:shd w:val="clear" w:color="auto" w:fill="FFFFFF"/>
        <w:spacing w:after="0" w:line="360" w:lineRule="auto"/>
        <w:ind w:left="720"/>
        <w:rPr>
          <w:rFonts w:asciiTheme="minorHAnsi" w:eastAsia="Times New Roman" w:hAnsiTheme="minorHAnsi"/>
          <w:color w:val="244061" w:themeColor="accent1" w:themeShade="80"/>
          <w:sz w:val="24"/>
          <w:szCs w:val="24"/>
          <w:lang w:eastAsia="it-IT"/>
        </w:rPr>
      </w:pPr>
    </w:p>
    <w:p w:rsidR="00380AE8" w:rsidRPr="009244A7" w:rsidRDefault="00380AE8" w:rsidP="00987664">
      <w:pPr>
        <w:pStyle w:val="Paragrafoelenco"/>
        <w:numPr>
          <w:ilvl w:val="0"/>
          <w:numId w:val="3"/>
        </w:numPr>
        <w:shd w:val="clear" w:color="auto" w:fill="FFFFFF"/>
        <w:spacing w:after="0" w:line="360" w:lineRule="auto"/>
        <w:rPr>
          <w:rFonts w:asciiTheme="minorHAnsi" w:eastAsia="Times New Roman" w:hAnsiTheme="minorHAnsi"/>
          <w:b/>
          <w:color w:val="244061" w:themeColor="accent1" w:themeShade="80"/>
          <w:sz w:val="24"/>
          <w:szCs w:val="24"/>
          <w:lang w:eastAsia="it-IT"/>
        </w:rPr>
      </w:pPr>
      <w:bookmarkStart w:id="2" w:name="c"/>
      <w:bookmarkEnd w:id="2"/>
      <w:r w:rsidRPr="009244A7">
        <w:rPr>
          <w:rFonts w:asciiTheme="minorHAnsi" w:eastAsia="Times New Roman" w:hAnsiTheme="minorHAnsi"/>
          <w:b/>
          <w:color w:val="244061" w:themeColor="accent1" w:themeShade="80"/>
          <w:sz w:val="24"/>
          <w:szCs w:val="24"/>
          <w:lang w:eastAsia="it-IT"/>
        </w:rPr>
        <w:t>QUALI SONO I DATORI DI LAVORO CHE POSSONO ACCEDERE ALLA CIG IN DEROGA?</w:t>
      </w:r>
    </w:p>
    <w:p w:rsidR="00380AE8" w:rsidRPr="009244A7" w:rsidRDefault="00380AE8" w:rsidP="00380AE8">
      <w:pPr>
        <w:shd w:val="clear" w:color="auto" w:fill="FFFFFF"/>
        <w:spacing w:after="0" w:line="360" w:lineRule="auto"/>
        <w:rPr>
          <w:rFonts w:asciiTheme="minorHAnsi" w:hAnsiTheme="minorHAnsi"/>
          <w:color w:val="244061" w:themeColor="accent1" w:themeShade="80"/>
          <w:sz w:val="24"/>
          <w:szCs w:val="24"/>
          <w:shd w:val="clear" w:color="auto" w:fill="FFFFFF"/>
        </w:rPr>
      </w:pPr>
      <w:r w:rsidRPr="009244A7">
        <w:rPr>
          <w:rFonts w:asciiTheme="minorHAnsi" w:eastAsia="Times New Roman" w:hAnsiTheme="minorHAnsi"/>
          <w:color w:val="244061" w:themeColor="accent1" w:themeShade="80"/>
          <w:sz w:val="24"/>
          <w:szCs w:val="24"/>
          <w:lang w:eastAsia="it-IT"/>
        </w:rPr>
        <w:t xml:space="preserve">Possono accedervi i datori di lavoro privati che non sono destinatari di trattamenti di integrazione salariale, ovvero che sono destinatari della sola integrazione salariale ordinaria (CIGO) o della sola integrazione salariale straordinaria (CIGS), e che necessitano di un intervento di CIG in deroga a </w:t>
      </w:r>
      <w:r w:rsidRPr="009244A7">
        <w:rPr>
          <w:rFonts w:asciiTheme="minorHAnsi" w:eastAsia="Times New Roman" w:hAnsiTheme="minorHAnsi"/>
          <w:color w:val="244061" w:themeColor="accent1" w:themeShade="80"/>
          <w:sz w:val="24"/>
          <w:szCs w:val="24"/>
          <w:lang w:eastAsia="it-IT"/>
        </w:rPr>
        <w:lastRenderedPageBreak/>
        <w:t>seguito di una situazione di crisi, non implicante cessazione di attività (es. sospensione attività lavorativa)</w:t>
      </w:r>
      <w:r w:rsidRPr="009244A7">
        <w:rPr>
          <w:rFonts w:asciiTheme="minorHAnsi" w:hAnsiTheme="minorHAnsi"/>
          <w:color w:val="244061" w:themeColor="accent1" w:themeShade="80"/>
          <w:sz w:val="24"/>
          <w:szCs w:val="24"/>
          <w:shd w:val="clear" w:color="auto" w:fill="FFFFFF"/>
        </w:rPr>
        <w:t>.</w:t>
      </w:r>
    </w:p>
    <w:p w:rsidR="00380AE8" w:rsidRDefault="00380AE8" w:rsidP="00380AE8">
      <w:pPr>
        <w:shd w:val="clear" w:color="auto" w:fill="FFFFFF"/>
        <w:spacing w:after="0" w:line="360" w:lineRule="auto"/>
        <w:rPr>
          <w:rFonts w:asciiTheme="minorHAnsi" w:eastAsia="Times New Roman" w:hAnsiTheme="minorHAnsi"/>
          <w:b/>
          <w:color w:val="244061" w:themeColor="accent1" w:themeShade="80"/>
          <w:sz w:val="24"/>
          <w:szCs w:val="24"/>
          <w:lang w:eastAsia="it-IT"/>
        </w:rPr>
      </w:pPr>
    </w:p>
    <w:p w:rsidR="009244A7" w:rsidRPr="009244A7" w:rsidRDefault="009244A7" w:rsidP="00380AE8">
      <w:pPr>
        <w:shd w:val="clear" w:color="auto" w:fill="FFFFFF"/>
        <w:spacing w:after="0" w:line="360" w:lineRule="auto"/>
        <w:rPr>
          <w:rFonts w:asciiTheme="minorHAnsi" w:eastAsia="Times New Roman" w:hAnsiTheme="minorHAnsi"/>
          <w:b/>
          <w:color w:val="244061" w:themeColor="accent1" w:themeShade="80"/>
          <w:sz w:val="24"/>
          <w:szCs w:val="24"/>
          <w:lang w:eastAsia="it-IT"/>
        </w:rPr>
      </w:pPr>
    </w:p>
    <w:p w:rsidR="00380AE8" w:rsidRPr="009244A7" w:rsidRDefault="00380AE8" w:rsidP="00987664">
      <w:pPr>
        <w:pStyle w:val="Paragrafoelenco"/>
        <w:numPr>
          <w:ilvl w:val="0"/>
          <w:numId w:val="3"/>
        </w:numPr>
        <w:shd w:val="clear" w:color="auto" w:fill="FFFFFF"/>
        <w:spacing w:after="0" w:line="360" w:lineRule="auto"/>
        <w:rPr>
          <w:rFonts w:asciiTheme="minorHAnsi" w:eastAsia="Times New Roman" w:hAnsiTheme="minorHAnsi"/>
          <w:b/>
          <w:color w:val="244061" w:themeColor="accent1" w:themeShade="80"/>
          <w:sz w:val="24"/>
          <w:szCs w:val="24"/>
          <w:lang w:eastAsia="it-IT"/>
        </w:rPr>
      </w:pPr>
      <w:bookmarkStart w:id="3" w:name="d"/>
      <w:bookmarkEnd w:id="3"/>
      <w:r w:rsidRPr="009244A7">
        <w:rPr>
          <w:rFonts w:asciiTheme="minorHAnsi" w:eastAsia="Times New Roman" w:hAnsiTheme="minorHAnsi"/>
          <w:b/>
          <w:color w:val="244061" w:themeColor="accent1" w:themeShade="80"/>
          <w:sz w:val="24"/>
          <w:szCs w:val="24"/>
          <w:lang w:eastAsia="it-IT"/>
        </w:rPr>
        <w:t>QUAL’E’ LA DURATA E L’AMMONTARE DELLA CIG IN DEROGA?</w:t>
      </w:r>
    </w:p>
    <w:p w:rsidR="00380AE8" w:rsidRPr="009244A7" w:rsidRDefault="00380AE8" w:rsidP="00380AE8">
      <w:p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Il trattamento può avere una durata massima di 12 mesi (comprensiva di proroghe).  L’ammontare dell’indennità di CIG in deroga è pari all'80% della retribuzione globale che sarebbe spettata  per le ore di lavoro non prestate. Esistono comunque limiti massimi mensili stabiliti di anno in anno tramite decreto.</w:t>
      </w:r>
    </w:p>
    <w:p w:rsidR="00380AE8" w:rsidRPr="009244A7" w:rsidRDefault="00380AE8" w:rsidP="00380AE8">
      <w:pPr>
        <w:shd w:val="clear" w:color="auto" w:fill="FFFFFF"/>
        <w:spacing w:after="0" w:line="360" w:lineRule="auto"/>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In caso di proroghe del trattamento la misura della prestazione è ridotta del 10% in caso di prima proroga, del 30% nel caso di seconda proroga e del 40% per le proroghe successive.</w:t>
      </w:r>
    </w:p>
    <w:p w:rsidR="00380AE8" w:rsidRDefault="00380AE8" w:rsidP="00380AE8">
      <w:pPr>
        <w:shd w:val="clear" w:color="auto" w:fill="FFFFFF"/>
        <w:spacing w:after="0" w:line="360" w:lineRule="auto"/>
        <w:rPr>
          <w:rFonts w:asciiTheme="minorHAnsi" w:eastAsia="Times New Roman" w:hAnsiTheme="minorHAnsi"/>
          <w:color w:val="244061" w:themeColor="accent1" w:themeShade="80"/>
          <w:sz w:val="24"/>
          <w:szCs w:val="24"/>
          <w:lang w:eastAsia="it-IT"/>
        </w:rPr>
      </w:pPr>
    </w:p>
    <w:p w:rsidR="009244A7" w:rsidRPr="009244A7" w:rsidRDefault="009244A7" w:rsidP="00380AE8">
      <w:pPr>
        <w:shd w:val="clear" w:color="auto" w:fill="FFFFFF"/>
        <w:spacing w:after="0" w:line="360" w:lineRule="auto"/>
        <w:rPr>
          <w:rFonts w:asciiTheme="minorHAnsi" w:eastAsia="Times New Roman" w:hAnsiTheme="minorHAnsi"/>
          <w:color w:val="244061" w:themeColor="accent1" w:themeShade="80"/>
          <w:sz w:val="24"/>
          <w:szCs w:val="24"/>
          <w:lang w:eastAsia="it-IT"/>
        </w:rPr>
      </w:pPr>
    </w:p>
    <w:p w:rsidR="00380AE8" w:rsidRPr="009244A7" w:rsidRDefault="00380AE8" w:rsidP="00987664">
      <w:pPr>
        <w:pStyle w:val="Paragrafoelenco"/>
        <w:numPr>
          <w:ilvl w:val="0"/>
          <w:numId w:val="3"/>
        </w:numPr>
        <w:shd w:val="clear" w:color="auto" w:fill="FFFFFF"/>
        <w:spacing w:after="0" w:line="360" w:lineRule="auto"/>
        <w:rPr>
          <w:rFonts w:asciiTheme="minorHAnsi" w:eastAsia="Times New Roman" w:hAnsiTheme="minorHAnsi"/>
          <w:b/>
          <w:color w:val="244061" w:themeColor="accent1" w:themeShade="80"/>
          <w:sz w:val="24"/>
          <w:szCs w:val="24"/>
          <w:lang w:eastAsia="it-IT"/>
        </w:rPr>
      </w:pPr>
      <w:bookmarkStart w:id="4" w:name="e"/>
      <w:bookmarkEnd w:id="4"/>
      <w:r w:rsidRPr="009244A7">
        <w:rPr>
          <w:rFonts w:asciiTheme="minorHAnsi" w:eastAsia="Times New Roman" w:hAnsiTheme="minorHAnsi"/>
          <w:b/>
          <w:color w:val="244061" w:themeColor="accent1" w:themeShade="80"/>
          <w:sz w:val="24"/>
          <w:szCs w:val="24"/>
          <w:lang w:eastAsia="it-IT"/>
        </w:rPr>
        <w:t>QUAL’E’ LA PROCEDURA DA SEGUIRE PER OTTENERE LA CIG IN DEROGA?</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I datori di lavoro che intendono fare ricorso alla </w:t>
      </w:r>
      <w:proofErr w:type="spellStart"/>
      <w:r w:rsidRPr="009244A7">
        <w:rPr>
          <w:rFonts w:asciiTheme="minorHAnsi" w:eastAsia="Times New Roman" w:hAnsiTheme="minorHAnsi"/>
          <w:color w:val="244061" w:themeColor="accent1" w:themeShade="80"/>
          <w:sz w:val="24"/>
          <w:szCs w:val="24"/>
          <w:lang w:eastAsia="it-IT"/>
        </w:rPr>
        <w:t>Cig</w:t>
      </w:r>
      <w:proofErr w:type="spellEnd"/>
      <w:r w:rsidRPr="009244A7">
        <w:rPr>
          <w:rFonts w:asciiTheme="minorHAnsi" w:eastAsia="Times New Roman" w:hAnsiTheme="minorHAnsi"/>
          <w:color w:val="244061" w:themeColor="accent1" w:themeShade="80"/>
          <w:sz w:val="24"/>
          <w:szCs w:val="24"/>
          <w:lang w:eastAsia="it-IT"/>
        </w:rPr>
        <w:t xml:space="preserve"> in deroga devono procedere alla consultazione sindacale e, successivamente, presentare richiesta all’Assessorato regionale competente (in alcune Regioni a quello provinciale), entro il termine di 25 giorni dalla fine del periodo di paga.</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Valutata la richiesta di concessione, la Regione, in caso di esito positivo, autorizza la concessione del trattamento e trasmette all’Inps per via telematica il provvedimento di autorizzazione contenente l’elenco dei lavoratori beneficiari. L’Inps provvede alla liquidazione di quanto dovuto.</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Laddove si tratti di impresa </w:t>
      </w:r>
      <w:proofErr w:type="spellStart"/>
      <w:r w:rsidRPr="009244A7">
        <w:rPr>
          <w:rFonts w:asciiTheme="minorHAnsi" w:eastAsia="Times New Roman" w:hAnsiTheme="minorHAnsi"/>
          <w:color w:val="244061" w:themeColor="accent1" w:themeShade="80"/>
          <w:sz w:val="24"/>
          <w:szCs w:val="24"/>
          <w:lang w:eastAsia="it-IT"/>
        </w:rPr>
        <w:t>multilocalizzata</w:t>
      </w:r>
      <w:proofErr w:type="spellEnd"/>
      <w:r w:rsidRPr="009244A7">
        <w:rPr>
          <w:rFonts w:asciiTheme="minorHAnsi" w:eastAsia="Times New Roman" w:hAnsiTheme="minorHAnsi"/>
          <w:color w:val="244061" w:themeColor="accent1" w:themeShade="80"/>
          <w:sz w:val="24"/>
          <w:szCs w:val="24"/>
          <w:lang w:eastAsia="it-IT"/>
        </w:rPr>
        <w:t xml:space="preserve"> in più Regioni, la domanda di concessione deve essere presentata alla Direzione competente del Ministero del lavoro. Una volta ottenuta l’autorizzazione, l’impresa ha l’onere di presentare richiesta di integrazione salariale all’Inps, tramite modello IG15/Deroga. </w:t>
      </w:r>
    </w:p>
    <w:p w:rsidR="00380AE8" w:rsidRDefault="00380AE8" w:rsidP="00380AE8">
      <w:pPr>
        <w:spacing w:after="0" w:line="360" w:lineRule="auto"/>
        <w:jc w:val="both"/>
        <w:rPr>
          <w:rFonts w:asciiTheme="minorHAnsi" w:eastAsia="Times New Roman" w:hAnsiTheme="minorHAnsi"/>
          <w:b/>
          <w:color w:val="244061" w:themeColor="accent1" w:themeShade="80"/>
          <w:sz w:val="24"/>
          <w:szCs w:val="24"/>
          <w:lang w:eastAsia="it-IT"/>
        </w:rPr>
      </w:pPr>
    </w:p>
    <w:p w:rsidR="009244A7" w:rsidRPr="009244A7" w:rsidRDefault="009244A7" w:rsidP="00380AE8">
      <w:pPr>
        <w:spacing w:after="0" w:line="360" w:lineRule="auto"/>
        <w:jc w:val="both"/>
        <w:rPr>
          <w:rFonts w:asciiTheme="minorHAnsi" w:eastAsia="Times New Roman" w:hAnsiTheme="minorHAnsi"/>
          <w:b/>
          <w:color w:val="244061" w:themeColor="accent1" w:themeShade="80"/>
          <w:sz w:val="24"/>
          <w:szCs w:val="24"/>
          <w:lang w:eastAsia="it-IT"/>
        </w:rPr>
      </w:pPr>
    </w:p>
    <w:p w:rsidR="00380AE8" w:rsidRPr="009244A7" w:rsidRDefault="00380AE8" w:rsidP="00987664">
      <w:pPr>
        <w:pStyle w:val="Paragrafoelenco"/>
        <w:numPr>
          <w:ilvl w:val="0"/>
          <w:numId w:val="3"/>
        </w:numPr>
        <w:spacing w:after="0" w:line="360" w:lineRule="auto"/>
        <w:jc w:val="both"/>
        <w:rPr>
          <w:rFonts w:asciiTheme="minorHAnsi" w:eastAsia="Times New Roman" w:hAnsiTheme="minorHAnsi"/>
          <w:b/>
          <w:color w:val="244061" w:themeColor="accent1" w:themeShade="80"/>
          <w:sz w:val="24"/>
          <w:szCs w:val="24"/>
          <w:lang w:eastAsia="it-IT"/>
        </w:rPr>
      </w:pPr>
      <w:bookmarkStart w:id="5" w:name="f"/>
      <w:bookmarkEnd w:id="5"/>
      <w:r w:rsidRPr="009244A7">
        <w:rPr>
          <w:rFonts w:asciiTheme="minorHAnsi" w:eastAsia="Times New Roman" w:hAnsiTheme="minorHAnsi"/>
          <w:b/>
          <w:color w:val="244061" w:themeColor="accent1" w:themeShade="80"/>
          <w:sz w:val="24"/>
          <w:szCs w:val="24"/>
          <w:lang w:eastAsia="it-IT"/>
        </w:rPr>
        <w:t>È POSSIBILE ANTICIPARE L’INDENNITÀ?</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 xml:space="preserve">Dal 2013 il meccanismo dell’anticipazione non è più perseguibile (Legge n.228/2012 e messaggio Inps n. 1051 del 17 gennaio 2013). Si sottolinea, infatti, che fino al 2012 l’Inps era autorizzato ad anticipare il trattamento per un periodo massimo di quattro mesi, nelle more del provvedimento </w:t>
      </w:r>
      <w:r w:rsidRPr="009244A7">
        <w:rPr>
          <w:rFonts w:asciiTheme="minorHAnsi" w:eastAsia="Times New Roman" w:hAnsiTheme="minorHAnsi"/>
          <w:color w:val="244061" w:themeColor="accent1" w:themeShade="80"/>
          <w:sz w:val="24"/>
          <w:szCs w:val="24"/>
          <w:lang w:eastAsia="it-IT"/>
        </w:rPr>
        <w:lastRenderedPageBreak/>
        <w:t>autorizzativo regionale. In caso di rigetto della domanda da parte della Regione, l’Ente previdenziale provvedeva a recuperare quanto anticipato.</w:t>
      </w:r>
    </w:p>
    <w:p w:rsidR="00380AE8"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p>
    <w:p w:rsidR="009244A7" w:rsidRPr="009244A7" w:rsidRDefault="009244A7" w:rsidP="00380AE8">
      <w:pPr>
        <w:spacing w:after="0" w:line="360" w:lineRule="auto"/>
        <w:jc w:val="both"/>
        <w:rPr>
          <w:rFonts w:asciiTheme="minorHAnsi" w:eastAsia="Times New Roman" w:hAnsiTheme="minorHAnsi"/>
          <w:color w:val="244061" w:themeColor="accent1" w:themeShade="80"/>
          <w:sz w:val="24"/>
          <w:szCs w:val="24"/>
          <w:lang w:eastAsia="it-IT"/>
        </w:rPr>
      </w:pPr>
    </w:p>
    <w:p w:rsidR="00380AE8" w:rsidRPr="009244A7" w:rsidRDefault="00380AE8" w:rsidP="009244A7">
      <w:pPr>
        <w:pStyle w:val="Paragrafoelenco"/>
        <w:numPr>
          <w:ilvl w:val="0"/>
          <w:numId w:val="3"/>
        </w:numPr>
        <w:spacing w:after="0" w:line="360" w:lineRule="auto"/>
        <w:jc w:val="both"/>
        <w:rPr>
          <w:rFonts w:asciiTheme="minorHAnsi" w:eastAsia="Times New Roman" w:hAnsiTheme="minorHAnsi"/>
          <w:b/>
          <w:color w:val="244061" w:themeColor="accent1" w:themeShade="80"/>
          <w:sz w:val="24"/>
          <w:szCs w:val="24"/>
          <w:lang w:eastAsia="it-IT"/>
        </w:rPr>
      </w:pPr>
      <w:bookmarkStart w:id="6" w:name="g"/>
      <w:bookmarkEnd w:id="6"/>
      <w:r w:rsidRPr="009244A7">
        <w:rPr>
          <w:rFonts w:asciiTheme="minorHAnsi" w:eastAsia="Times New Roman" w:hAnsiTheme="minorHAnsi"/>
          <w:b/>
          <w:color w:val="244061" w:themeColor="accent1" w:themeShade="80"/>
          <w:sz w:val="24"/>
          <w:szCs w:val="24"/>
          <w:lang w:eastAsia="it-IT"/>
        </w:rPr>
        <w:t>E’ NECESSARIA LA CONSULTAZIONE SINDACALE?</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Si, la consultazione sindacale è sempre necessaria, a prescindere dall’affiliazione o dall’assistenza sindacale dell’associazione datoriale. In assenza di RSA o RSU la richiesta di consultazione sindacale va inoltrata alle organizzazioni comparativamente più rappresentative a livello territoriale.</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Le modalità di consultazione sono fissate dai vari accordi regionali.</w:t>
      </w:r>
    </w:p>
    <w:p w:rsidR="008B7740" w:rsidRPr="009244A7" w:rsidRDefault="008B7740" w:rsidP="00380AE8">
      <w:pPr>
        <w:spacing w:after="0" w:line="360" w:lineRule="auto"/>
        <w:jc w:val="both"/>
        <w:rPr>
          <w:rFonts w:asciiTheme="minorHAnsi" w:eastAsia="Times New Roman" w:hAnsiTheme="minorHAnsi"/>
          <w:color w:val="244061" w:themeColor="accent1" w:themeShade="80"/>
          <w:sz w:val="24"/>
          <w:szCs w:val="24"/>
          <w:lang w:eastAsia="it-IT"/>
        </w:rPr>
      </w:pPr>
    </w:p>
    <w:p w:rsidR="008B7740" w:rsidRPr="009244A7" w:rsidRDefault="008B7740" w:rsidP="00380AE8">
      <w:pPr>
        <w:spacing w:after="0" w:line="360" w:lineRule="auto"/>
        <w:jc w:val="both"/>
        <w:rPr>
          <w:rFonts w:asciiTheme="minorHAnsi" w:eastAsia="Times New Roman" w:hAnsiTheme="minorHAnsi"/>
          <w:b/>
          <w:color w:val="244061" w:themeColor="accent1" w:themeShade="80"/>
          <w:sz w:val="24"/>
          <w:szCs w:val="24"/>
          <w:lang w:eastAsia="it-IT"/>
        </w:rPr>
      </w:pPr>
      <w:bookmarkStart w:id="7" w:name="_GoBack"/>
      <w:bookmarkEnd w:id="7"/>
    </w:p>
    <w:p w:rsidR="008B7740" w:rsidRPr="009244A7" w:rsidRDefault="008B7740" w:rsidP="009244A7">
      <w:pPr>
        <w:pStyle w:val="Paragrafoelenco"/>
        <w:numPr>
          <w:ilvl w:val="0"/>
          <w:numId w:val="3"/>
        </w:numPr>
        <w:spacing w:after="0" w:line="360" w:lineRule="auto"/>
        <w:jc w:val="both"/>
        <w:rPr>
          <w:rFonts w:asciiTheme="minorHAnsi" w:eastAsia="Times New Roman" w:hAnsiTheme="minorHAnsi"/>
          <w:b/>
          <w:color w:val="244061" w:themeColor="accent1" w:themeShade="80"/>
          <w:sz w:val="24"/>
          <w:szCs w:val="24"/>
          <w:lang w:eastAsia="it-IT"/>
        </w:rPr>
      </w:pPr>
      <w:bookmarkStart w:id="8" w:name="h"/>
      <w:bookmarkEnd w:id="8"/>
      <w:r w:rsidRPr="009244A7">
        <w:rPr>
          <w:rFonts w:asciiTheme="minorHAnsi" w:eastAsia="Times New Roman" w:hAnsiTheme="minorHAnsi"/>
          <w:b/>
          <w:color w:val="244061" w:themeColor="accent1" w:themeShade="80"/>
          <w:sz w:val="24"/>
          <w:szCs w:val="24"/>
          <w:lang w:eastAsia="it-IT"/>
        </w:rPr>
        <w:t>LA DICHIARAZIONE DI IMMEDIATA DISPONIBILITA’ E’ OBBLIGATORIA?</w:t>
      </w:r>
    </w:p>
    <w:p w:rsidR="008B7740" w:rsidRPr="009244A7" w:rsidRDefault="008B7740" w:rsidP="00380AE8">
      <w:pPr>
        <w:spacing w:after="0" w:line="360" w:lineRule="auto"/>
        <w:jc w:val="both"/>
        <w:rPr>
          <w:rFonts w:asciiTheme="minorHAnsi" w:eastAsia="Times New Roman" w:hAnsiTheme="minorHAnsi"/>
          <w:color w:val="244061" w:themeColor="accent1" w:themeShade="80"/>
          <w:sz w:val="24"/>
          <w:szCs w:val="24"/>
          <w:lang w:eastAsia="it-IT"/>
        </w:rPr>
      </w:pPr>
      <w:r w:rsidRPr="009244A7">
        <w:rPr>
          <w:rFonts w:asciiTheme="minorHAnsi" w:eastAsia="Times New Roman" w:hAnsiTheme="minorHAnsi"/>
          <w:color w:val="244061" w:themeColor="accent1" w:themeShade="80"/>
          <w:sz w:val="24"/>
          <w:szCs w:val="24"/>
          <w:lang w:eastAsia="it-IT"/>
        </w:rPr>
        <w:t>No, la DID non è più obbligatoria. Con l</w:t>
      </w:r>
      <w:r w:rsidRPr="009244A7">
        <w:rPr>
          <w:rFonts w:asciiTheme="minorHAnsi" w:eastAsia="Times New Roman" w:hAnsiTheme="minorHAnsi"/>
          <w:bCs/>
          <w:color w:val="244061" w:themeColor="accent1" w:themeShade="80"/>
          <w:sz w:val="24"/>
          <w:szCs w:val="24"/>
          <w:lang w:eastAsia="it-IT"/>
        </w:rPr>
        <w:t>’articolo 4, comma 47, della legge di riforma del mercato del lavoro viene abrogata, a partire dal 18 luglio 2012, la normativa che subordina il diritto a percepire qualsiasi trattamento di sostegno al reddito al rilascio, da parte del richiedente, della dichiarazione di immediata disponibilità al lavoro o a un percorso di riqualificazione professionale. Dunque, i lavoratori richiedenti non sono più tenuti a rilasciare la predetta dichiarazione al datore di lavoro.</w:t>
      </w:r>
    </w:p>
    <w:p w:rsidR="00380AE8" w:rsidRPr="009244A7" w:rsidRDefault="00380AE8" w:rsidP="00380AE8">
      <w:pPr>
        <w:spacing w:after="0" w:line="360" w:lineRule="auto"/>
        <w:jc w:val="both"/>
        <w:rPr>
          <w:rFonts w:asciiTheme="minorHAnsi" w:eastAsia="Times New Roman" w:hAnsiTheme="minorHAnsi"/>
          <w:color w:val="244061" w:themeColor="accent1" w:themeShade="80"/>
          <w:sz w:val="24"/>
          <w:szCs w:val="24"/>
          <w:lang w:eastAsia="it-IT"/>
        </w:rPr>
      </w:pPr>
    </w:p>
    <w:p w:rsidR="001D23EC" w:rsidRPr="009244A7" w:rsidRDefault="001D23EC">
      <w:pPr>
        <w:rPr>
          <w:rFonts w:asciiTheme="minorHAnsi" w:hAnsiTheme="minorHAnsi"/>
          <w:color w:val="244061" w:themeColor="accent1" w:themeShade="80"/>
          <w:sz w:val="24"/>
          <w:szCs w:val="24"/>
        </w:rPr>
      </w:pPr>
    </w:p>
    <w:sectPr w:rsidR="001D23EC" w:rsidRPr="009244A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64" w:rsidRDefault="00987664" w:rsidP="00987664">
      <w:pPr>
        <w:spacing w:after="0" w:line="240" w:lineRule="auto"/>
      </w:pPr>
      <w:r>
        <w:separator/>
      </w:r>
    </w:p>
  </w:endnote>
  <w:endnote w:type="continuationSeparator" w:id="0">
    <w:p w:rsidR="00987664" w:rsidRDefault="00987664" w:rsidP="0098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64" w:rsidRDefault="00987664">
    <w:pPr>
      <w:pStyle w:val="Pidipagina"/>
    </w:pPr>
    <w:r>
      <w:t>www.ConfProfessioniLavoro.eu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64" w:rsidRDefault="00987664" w:rsidP="00987664">
      <w:pPr>
        <w:spacing w:after="0" w:line="240" w:lineRule="auto"/>
      </w:pPr>
      <w:r>
        <w:separator/>
      </w:r>
    </w:p>
  </w:footnote>
  <w:footnote w:type="continuationSeparator" w:id="0">
    <w:p w:rsidR="00987664" w:rsidRDefault="00987664" w:rsidP="0098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64" w:rsidRDefault="00987664">
    <w:pPr>
      <w:pStyle w:val="Intestazione"/>
    </w:pPr>
    <w:r>
      <w:rPr>
        <w:noProof/>
        <w:lang w:eastAsia="it-IT"/>
      </w:rPr>
      <w:drawing>
        <wp:inline distT="0" distB="0" distL="0" distR="0">
          <wp:extent cx="2714625" cy="762000"/>
          <wp:effectExtent l="0" t="0" r="9525" b="0"/>
          <wp:docPr id="1" name="Immagine 1" descr="logoCP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762000"/>
                  </a:xfrm>
                  <a:prstGeom prst="rect">
                    <a:avLst/>
                  </a:prstGeom>
                  <a:noFill/>
                  <a:ln>
                    <a:noFill/>
                  </a:ln>
                </pic:spPr>
              </pic:pic>
            </a:graphicData>
          </a:graphic>
        </wp:inline>
      </w:drawing>
    </w:r>
  </w:p>
  <w:p w:rsidR="00987664" w:rsidRDefault="009876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0D8"/>
    <w:multiLevelType w:val="hybridMultilevel"/>
    <w:tmpl w:val="44C6E6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8B14B5"/>
    <w:multiLevelType w:val="hybridMultilevel"/>
    <w:tmpl w:val="753888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937B27"/>
    <w:multiLevelType w:val="hybridMultilevel"/>
    <w:tmpl w:val="3ECC8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E8"/>
    <w:rsid w:val="001D23EC"/>
    <w:rsid w:val="00380AE8"/>
    <w:rsid w:val="008B7740"/>
    <w:rsid w:val="009244A7"/>
    <w:rsid w:val="00987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AE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B7740"/>
    <w:rPr>
      <w:b/>
      <w:bCs/>
    </w:rPr>
  </w:style>
  <w:style w:type="paragraph" w:styleId="Intestazione">
    <w:name w:val="header"/>
    <w:basedOn w:val="Normale"/>
    <w:link w:val="IntestazioneCarattere"/>
    <w:uiPriority w:val="99"/>
    <w:unhideWhenUsed/>
    <w:rsid w:val="00987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664"/>
    <w:rPr>
      <w:rFonts w:ascii="Calibri" w:eastAsia="Calibri" w:hAnsi="Calibri" w:cs="Times New Roman"/>
    </w:rPr>
  </w:style>
  <w:style w:type="paragraph" w:styleId="Pidipagina">
    <w:name w:val="footer"/>
    <w:basedOn w:val="Normale"/>
    <w:link w:val="PidipaginaCarattere"/>
    <w:uiPriority w:val="99"/>
    <w:unhideWhenUsed/>
    <w:rsid w:val="00987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664"/>
    <w:rPr>
      <w:rFonts w:ascii="Calibri" w:eastAsia="Calibri" w:hAnsi="Calibri" w:cs="Times New Roman"/>
    </w:rPr>
  </w:style>
  <w:style w:type="paragraph" w:styleId="Testofumetto">
    <w:name w:val="Balloon Text"/>
    <w:basedOn w:val="Normale"/>
    <w:link w:val="TestofumettoCarattere"/>
    <w:uiPriority w:val="99"/>
    <w:semiHidden/>
    <w:unhideWhenUsed/>
    <w:rsid w:val="00987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664"/>
    <w:rPr>
      <w:rFonts w:ascii="Tahoma" w:eastAsia="Calibri" w:hAnsi="Tahoma" w:cs="Tahoma"/>
      <w:sz w:val="16"/>
      <w:szCs w:val="16"/>
    </w:rPr>
  </w:style>
  <w:style w:type="paragraph" w:styleId="Paragrafoelenco">
    <w:name w:val="List Paragraph"/>
    <w:basedOn w:val="Normale"/>
    <w:uiPriority w:val="34"/>
    <w:qFormat/>
    <w:rsid w:val="00987664"/>
    <w:pPr>
      <w:ind w:left="720"/>
      <w:contextualSpacing/>
    </w:pPr>
  </w:style>
  <w:style w:type="character" w:styleId="Collegamentoipertestuale">
    <w:name w:val="Hyperlink"/>
    <w:basedOn w:val="Carpredefinitoparagrafo"/>
    <w:uiPriority w:val="99"/>
    <w:unhideWhenUsed/>
    <w:rsid w:val="00987664"/>
    <w:rPr>
      <w:color w:val="0000FF" w:themeColor="hyperlink"/>
      <w:u w:val="single"/>
    </w:rPr>
  </w:style>
  <w:style w:type="character" w:styleId="Collegamentovisitato">
    <w:name w:val="FollowedHyperlink"/>
    <w:basedOn w:val="Carpredefinitoparagrafo"/>
    <w:uiPriority w:val="99"/>
    <w:semiHidden/>
    <w:unhideWhenUsed/>
    <w:rsid w:val="009876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AE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B7740"/>
    <w:rPr>
      <w:b/>
      <w:bCs/>
    </w:rPr>
  </w:style>
  <w:style w:type="paragraph" w:styleId="Intestazione">
    <w:name w:val="header"/>
    <w:basedOn w:val="Normale"/>
    <w:link w:val="IntestazioneCarattere"/>
    <w:uiPriority w:val="99"/>
    <w:unhideWhenUsed/>
    <w:rsid w:val="00987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664"/>
    <w:rPr>
      <w:rFonts w:ascii="Calibri" w:eastAsia="Calibri" w:hAnsi="Calibri" w:cs="Times New Roman"/>
    </w:rPr>
  </w:style>
  <w:style w:type="paragraph" w:styleId="Pidipagina">
    <w:name w:val="footer"/>
    <w:basedOn w:val="Normale"/>
    <w:link w:val="PidipaginaCarattere"/>
    <w:uiPriority w:val="99"/>
    <w:unhideWhenUsed/>
    <w:rsid w:val="00987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664"/>
    <w:rPr>
      <w:rFonts w:ascii="Calibri" w:eastAsia="Calibri" w:hAnsi="Calibri" w:cs="Times New Roman"/>
    </w:rPr>
  </w:style>
  <w:style w:type="paragraph" w:styleId="Testofumetto">
    <w:name w:val="Balloon Text"/>
    <w:basedOn w:val="Normale"/>
    <w:link w:val="TestofumettoCarattere"/>
    <w:uiPriority w:val="99"/>
    <w:semiHidden/>
    <w:unhideWhenUsed/>
    <w:rsid w:val="009876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664"/>
    <w:rPr>
      <w:rFonts w:ascii="Tahoma" w:eastAsia="Calibri" w:hAnsi="Tahoma" w:cs="Tahoma"/>
      <w:sz w:val="16"/>
      <w:szCs w:val="16"/>
    </w:rPr>
  </w:style>
  <w:style w:type="paragraph" w:styleId="Paragrafoelenco">
    <w:name w:val="List Paragraph"/>
    <w:basedOn w:val="Normale"/>
    <w:uiPriority w:val="34"/>
    <w:qFormat/>
    <w:rsid w:val="00987664"/>
    <w:pPr>
      <w:ind w:left="720"/>
      <w:contextualSpacing/>
    </w:pPr>
  </w:style>
  <w:style w:type="character" w:styleId="Collegamentoipertestuale">
    <w:name w:val="Hyperlink"/>
    <w:basedOn w:val="Carpredefinitoparagrafo"/>
    <w:uiPriority w:val="99"/>
    <w:unhideWhenUsed/>
    <w:rsid w:val="00987664"/>
    <w:rPr>
      <w:color w:val="0000FF" w:themeColor="hyperlink"/>
      <w:u w:val="single"/>
    </w:rPr>
  </w:style>
  <w:style w:type="character" w:styleId="Collegamentovisitato">
    <w:name w:val="FollowedHyperlink"/>
    <w:basedOn w:val="Carpredefinitoparagrafo"/>
    <w:uiPriority w:val="99"/>
    <w:semiHidden/>
    <w:unhideWhenUsed/>
    <w:rsid w:val="0098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Roby</cp:lastModifiedBy>
  <cp:revision>2</cp:revision>
  <dcterms:created xsi:type="dcterms:W3CDTF">2013-03-30T06:30:00Z</dcterms:created>
  <dcterms:modified xsi:type="dcterms:W3CDTF">2013-03-30T06:30:00Z</dcterms:modified>
</cp:coreProperties>
</file>